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СОВЕТ ДЕПУТАТОВ БЕРГУЛЬСКОГОСЕЛЬСОВЕТА</w:t>
      </w: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Северного района Новосибирской области</w:t>
      </w: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пятого созыва</w:t>
      </w: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 xml:space="preserve"> Е Ш Е Н И Е</w:t>
      </w: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 xml:space="preserve">      43-ей   сессии</w:t>
      </w: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23.05.2019                       с. Бергуль                             № 2</w:t>
      </w: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порядка предоставления муниципальных гарантий </w:t>
      </w:r>
      <w:proofErr w:type="gramStart"/>
      <w:r>
        <w:rPr>
          <w:rFonts w:ascii="Times New Roman" w:hAnsi="Times New Roman" w:cs="Times New Roman"/>
          <w:b/>
          <w:sz w:val="28"/>
          <w:szCs w:val="28"/>
        </w:rPr>
        <w:t>по</w:t>
      </w:r>
      <w:proofErr w:type="gramEnd"/>
    </w:p>
    <w:p w:rsidR="00C726DD" w:rsidRDefault="00C726DD" w:rsidP="00C726DD">
      <w:pPr>
        <w:pStyle w:val="a4"/>
        <w:jc w:val="center"/>
        <w:rPr>
          <w:rFonts w:ascii="Times New Roman" w:hAnsi="Times New Roman" w:cs="Times New Roman"/>
          <w:b/>
          <w:color w:val="000000"/>
          <w:sz w:val="28"/>
          <w:szCs w:val="28"/>
        </w:rPr>
      </w:pPr>
      <w:r>
        <w:rPr>
          <w:rFonts w:ascii="Times New Roman" w:hAnsi="Times New Roman" w:cs="Times New Roman"/>
          <w:b/>
          <w:sz w:val="28"/>
          <w:szCs w:val="28"/>
        </w:rPr>
        <w:t>инвестиционным проектам за счет средств местного бюджета</w:t>
      </w:r>
    </w:p>
    <w:p w:rsidR="00C726DD" w:rsidRDefault="00C726DD" w:rsidP="00C726DD">
      <w:pPr>
        <w:rPr>
          <w:sz w:val="28"/>
          <w:szCs w:val="28"/>
        </w:rPr>
      </w:pP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На основании Бюджетного кодекса Российской Федерации, пункта 2 статьи 19 Федерального закона от 25 февраля 1999 года № 39-ФЗ «Об инвестиционной деятельности в Российской Федерации, осуществляемой в форме капитальных вложений», Устава Бергульского сельсовета Северного района Новосибирской области, Совет депутатов Бергульского сельсовета Северного района Новосибирской области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РЕШИЛ:</w:t>
      </w:r>
    </w:p>
    <w:p w:rsidR="00C726DD" w:rsidRDefault="00C726DD" w:rsidP="00C726DD">
      <w:pPr>
        <w:pStyle w:val="a4"/>
        <w:jc w:val="both"/>
        <w:rPr>
          <w:rFonts w:ascii="Times New Roman" w:hAnsi="Times New Roman" w:cs="Times New Roman"/>
          <w:b/>
          <w:sz w:val="28"/>
          <w:szCs w:val="28"/>
          <w:lang w:eastAsia="ar-SA"/>
        </w:rPr>
      </w:pPr>
      <w:r>
        <w:rPr>
          <w:rFonts w:ascii="Times New Roman" w:hAnsi="Times New Roman" w:cs="Times New Roman"/>
          <w:sz w:val="28"/>
          <w:szCs w:val="28"/>
          <w:lang w:eastAsia="zh-CN"/>
        </w:rPr>
        <w:t xml:space="preserve">      1.Утвердить </w:t>
      </w:r>
      <w:r>
        <w:rPr>
          <w:rFonts w:ascii="Times New Roman" w:hAnsi="Times New Roman" w:cs="Times New Roman"/>
          <w:sz w:val="28"/>
          <w:szCs w:val="28"/>
        </w:rPr>
        <w:t>Порядок предоставления муниципальных гарантий по инвестиционным проектам за счет средств местного бюджета Бергульского сельсовета Северного района Новосибирской области согласно Приложению.</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2.Разместить  настоящее решение  на официальном сайте администрации Бергульского сельсовета Северного района Новосибирской области и опубликовать в периодическом печатном издании «Вестник Бергульского сельсовета»</w:t>
      </w:r>
      <w:proofErr w:type="gramStart"/>
      <w:r>
        <w:rPr>
          <w:rFonts w:ascii="Times New Roman" w:hAnsi="Times New Roman" w:cs="Times New Roman"/>
          <w:sz w:val="28"/>
          <w:szCs w:val="28"/>
        </w:rPr>
        <w:t xml:space="preserve"> .</w:t>
      </w:r>
      <w:proofErr w:type="gramEnd"/>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3.Настоящее решение вступает в силу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даты его официального опубликования. </w:t>
      </w: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tbl>
      <w:tblPr>
        <w:tblW w:w="20595" w:type="dxa"/>
        <w:tblLook w:val="04A0"/>
      </w:tblPr>
      <w:tblGrid>
        <w:gridCol w:w="108"/>
        <w:gridCol w:w="4819"/>
        <w:gridCol w:w="392"/>
        <w:gridCol w:w="4535"/>
        <w:gridCol w:w="676"/>
        <w:gridCol w:w="4251"/>
        <w:gridCol w:w="960"/>
        <w:gridCol w:w="3968"/>
        <w:gridCol w:w="886"/>
      </w:tblGrid>
      <w:tr w:rsidR="00C726DD" w:rsidTr="00C726DD">
        <w:trPr>
          <w:gridBefore w:val="1"/>
          <w:wBefore w:w="108" w:type="dxa"/>
        </w:trPr>
        <w:tc>
          <w:tcPr>
            <w:tcW w:w="5211" w:type="dxa"/>
            <w:gridSpan w:val="2"/>
            <w:hideMark/>
          </w:tcPr>
          <w:p w:rsidR="00C726DD" w:rsidRDefault="00C726D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
          <w:p w:rsidR="00C726DD" w:rsidRDefault="00C726D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Бергульского сельсовета</w:t>
            </w:r>
          </w:p>
          <w:p w:rsidR="00C726DD" w:rsidRDefault="00C726D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Северного района                                </w:t>
            </w:r>
          </w:p>
          <w:p w:rsidR="00C726DD" w:rsidRDefault="00C726DD">
            <w:pPr>
              <w:pStyle w:val="a4"/>
              <w:spacing w:line="276"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r>
              <w:rPr>
                <w:rFonts w:ascii="Times New Roman" w:hAnsi="Times New Roman" w:cs="Times New Roman"/>
                <w:sz w:val="28"/>
                <w:szCs w:val="28"/>
              </w:rPr>
              <w:tab/>
              <w:t xml:space="preserve">             </w:t>
            </w:r>
            <w:r>
              <w:rPr>
                <w:rFonts w:ascii="Times New Roman" w:hAnsi="Times New Roman" w:cs="Times New Roman"/>
                <w:sz w:val="28"/>
                <w:szCs w:val="28"/>
              </w:rPr>
              <w:tab/>
              <w:t xml:space="preserve">                                                          Р.А.Хохлова</w:t>
            </w:r>
          </w:p>
        </w:tc>
        <w:tc>
          <w:tcPr>
            <w:tcW w:w="5211" w:type="dxa"/>
            <w:gridSpan w:val="2"/>
          </w:tcPr>
          <w:p w:rsidR="00C726DD" w:rsidRDefault="00C726D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Глава Бергульского сельсовета</w:t>
            </w:r>
          </w:p>
          <w:p w:rsidR="00C726DD" w:rsidRDefault="00C726D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Северного района                                </w:t>
            </w:r>
          </w:p>
          <w:p w:rsidR="00C726DD" w:rsidRDefault="00C726D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ab/>
            </w:r>
          </w:p>
          <w:p w:rsidR="00C726DD" w:rsidRDefault="00C726DD">
            <w:pPr>
              <w:pStyle w:val="a4"/>
              <w:spacing w:line="276" w:lineRule="auto"/>
              <w:jc w:val="both"/>
              <w:rPr>
                <w:rFonts w:ascii="Times New Roman" w:hAnsi="Times New Roman" w:cs="Times New Roman"/>
                <w:sz w:val="28"/>
                <w:szCs w:val="28"/>
              </w:rPr>
            </w:pPr>
          </w:p>
          <w:p w:rsidR="00C726DD" w:rsidRDefault="00C726DD">
            <w:pPr>
              <w:pStyle w:val="a4"/>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И.А.Трофимов</w:t>
            </w:r>
          </w:p>
        </w:tc>
        <w:tc>
          <w:tcPr>
            <w:tcW w:w="5211" w:type="dxa"/>
            <w:gridSpan w:val="2"/>
          </w:tcPr>
          <w:p w:rsidR="00C726DD" w:rsidRDefault="00C726DD">
            <w:pPr>
              <w:pStyle w:val="a4"/>
              <w:spacing w:line="276" w:lineRule="auto"/>
              <w:jc w:val="both"/>
              <w:rPr>
                <w:rFonts w:ascii="Times New Roman" w:hAnsi="Times New Roman" w:cs="Times New Roman"/>
                <w:sz w:val="28"/>
                <w:szCs w:val="28"/>
              </w:rPr>
            </w:pPr>
          </w:p>
        </w:tc>
        <w:tc>
          <w:tcPr>
            <w:tcW w:w="4854" w:type="dxa"/>
            <w:gridSpan w:val="2"/>
          </w:tcPr>
          <w:p w:rsidR="00C726DD" w:rsidRDefault="00C726DD">
            <w:pPr>
              <w:pStyle w:val="a4"/>
              <w:spacing w:line="276" w:lineRule="auto"/>
              <w:jc w:val="both"/>
              <w:rPr>
                <w:rFonts w:ascii="Times New Roman" w:hAnsi="Times New Roman" w:cs="Times New Roman"/>
                <w:sz w:val="28"/>
                <w:szCs w:val="28"/>
              </w:rPr>
            </w:pPr>
          </w:p>
        </w:tc>
      </w:tr>
      <w:tr w:rsidR="00C726DD" w:rsidTr="00C726DD">
        <w:trPr>
          <w:gridAfter w:val="1"/>
          <w:wAfter w:w="886" w:type="dxa"/>
        </w:trPr>
        <w:tc>
          <w:tcPr>
            <w:tcW w:w="4927" w:type="dxa"/>
            <w:gridSpan w:val="2"/>
          </w:tcPr>
          <w:p w:rsidR="00C726DD" w:rsidRDefault="00C726DD">
            <w:pPr>
              <w:spacing w:line="276" w:lineRule="auto"/>
              <w:jc w:val="right"/>
              <w:rPr>
                <w:rStyle w:val="a5"/>
                <w:bCs/>
                <w:sz w:val="28"/>
                <w:szCs w:val="28"/>
              </w:rPr>
            </w:pPr>
          </w:p>
        </w:tc>
        <w:tc>
          <w:tcPr>
            <w:tcW w:w="4927" w:type="dxa"/>
            <w:gridSpan w:val="2"/>
          </w:tcPr>
          <w:p w:rsidR="00C726DD" w:rsidRDefault="00C726DD">
            <w:pPr>
              <w:spacing w:line="276" w:lineRule="auto"/>
              <w:rPr>
                <w:rStyle w:val="a5"/>
                <w:bCs/>
                <w:sz w:val="28"/>
                <w:szCs w:val="28"/>
              </w:rPr>
            </w:pPr>
          </w:p>
        </w:tc>
        <w:tc>
          <w:tcPr>
            <w:tcW w:w="4927" w:type="dxa"/>
            <w:gridSpan w:val="2"/>
          </w:tcPr>
          <w:p w:rsidR="00C726DD" w:rsidRDefault="00C726DD">
            <w:pPr>
              <w:spacing w:line="276" w:lineRule="auto"/>
              <w:jc w:val="right"/>
              <w:rPr>
                <w:rStyle w:val="a5"/>
                <w:bCs/>
                <w:sz w:val="28"/>
                <w:szCs w:val="28"/>
              </w:rPr>
            </w:pPr>
          </w:p>
        </w:tc>
        <w:tc>
          <w:tcPr>
            <w:tcW w:w="4928" w:type="dxa"/>
            <w:gridSpan w:val="2"/>
          </w:tcPr>
          <w:p w:rsidR="00C726DD" w:rsidRDefault="00C726DD">
            <w:pPr>
              <w:spacing w:line="276" w:lineRule="auto"/>
              <w:ind w:firstLine="567"/>
              <w:jc w:val="right"/>
            </w:pPr>
          </w:p>
          <w:p w:rsidR="00C726DD" w:rsidRDefault="00C726DD">
            <w:pPr>
              <w:spacing w:line="276" w:lineRule="auto"/>
              <w:ind w:firstLine="567"/>
              <w:jc w:val="right"/>
            </w:pPr>
          </w:p>
          <w:p w:rsidR="00C726DD" w:rsidRDefault="00C726DD">
            <w:pPr>
              <w:spacing w:line="276" w:lineRule="auto"/>
              <w:ind w:firstLine="567"/>
              <w:jc w:val="right"/>
            </w:pPr>
          </w:p>
          <w:p w:rsidR="00C726DD" w:rsidRDefault="00C726DD">
            <w:pPr>
              <w:spacing w:line="276" w:lineRule="auto"/>
              <w:ind w:firstLine="567"/>
              <w:jc w:val="right"/>
            </w:pPr>
          </w:p>
          <w:p w:rsidR="00C726DD" w:rsidRDefault="00C726DD">
            <w:pPr>
              <w:spacing w:line="276" w:lineRule="auto"/>
              <w:ind w:firstLine="567"/>
              <w:jc w:val="right"/>
            </w:pPr>
            <w:proofErr w:type="spellStart"/>
            <w:r>
              <w:t>орского</w:t>
            </w:r>
            <w:proofErr w:type="spellEnd"/>
            <w:r>
              <w:t xml:space="preserve"> района</w:t>
            </w:r>
          </w:p>
          <w:p w:rsidR="00C726DD" w:rsidRDefault="00C726DD">
            <w:pPr>
              <w:spacing w:line="276" w:lineRule="auto"/>
              <w:ind w:firstLine="567"/>
              <w:jc w:val="center"/>
            </w:pPr>
          </w:p>
          <w:p w:rsidR="00C726DD" w:rsidRDefault="00C726DD">
            <w:pPr>
              <w:spacing w:line="276" w:lineRule="auto"/>
              <w:jc w:val="center"/>
              <w:rPr>
                <w:rStyle w:val="a5"/>
                <w:bCs/>
                <w:sz w:val="28"/>
                <w:szCs w:val="28"/>
              </w:rPr>
            </w:pPr>
            <w:proofErr w:type="gramStart"/>
            <w:r>
              <w:rPr>
                <w:rStyle w:val="a5"/>
                <w:bCs/>
                <w:sz w:val="28"/>
                <w:szCs w:val="28"/>
              </w:rPr>
              <w:lastRenderedPageBreak/>
              <w:t>П</w:t>
            </w:r>
            <w:proofErr w:type="gramEnd"/>
          </w:p>
        </w:tc>
      </w:tr>
    </w:tbl>
    <w:p w:rsidR="00C726DD" w:rsidRDefault="00C726DD" w:rsidP="00C726DD">
      <w:pPr>
        <w:pStyle w:val="ConsPlusNonformat"/>
        <w:jc w:val="right"/>
        <w:rPr>
          <w:rFonts w:ascii="Times New Roman" w:hAnsi="Times New Roman" w:cs="Times New Roman"/>
          <w:sz w:val="24"/>
          <w:szCs w:val="24"/>
        </w:rPr>
      </w:pPr>
      <w:r>
        <w:rPr>
          <w:rFonts w:ascii="Times New Roman" w:hAnsi="Times New Roman" w:cs="Times New Roman"/>
          <w:sz w:val="24"/>
          <w:szCs w:val="24"/>
        </w:rPr>
        <w:lastRenderedPageBreak/>
        <w:t>Утвержден</w:t>
      </w:r>
    </w:p>
    <w:p w:rsidR="00C726DD" w:rsidRDefault="00C726DD" w:rsidP="00C726DD">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решением Совета депутатов Бергульского</w:t>
      </w:r>
    </w:p>
    <w:p w:rsidR="00C726DD" w:rsidRDefault="00C726DD" w:rsidP="00C726DD">
      <w:pPr>
        <w:pStyle w:val="ConsPlusNonformat"/>
        <w:jc w:val="right"/>
        <w:rPr>
          <w:rFonts w:ascii="Times New Roman" w:hAnsi="Times New Roman" w:cs="Times New Roman"/>
          <w:sz w:val="24"/>
          <w:szCs w:val="24"/>
        </w:rPr>
      </w:pPr>
      <w:r>
        <w:rPr>
          <w:rFonts w:ascii="Times New Roman" w:hAnsi="Times New Roman" w:cs="Times New Roman"/>
          <w:sz w:val="24"/>
          <w:szCs w:val="24"/>
        </w:rPr>
        <w:t>сельсовета Северного района</w:t>
      </w:r>
    </w:p>
    <w:p w:rsidR="00C726DD" w:rsidRDefault="00C726DD" w:rsidP="00C726DD">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Новосибирской области </w:t>
      </w: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sz w:val="24"/>
          <w:szCs w:val="24"/>
        </w:rPr>
        <w:t xml:space="preserve">                                                                                                             </w:t>
      </w:r>
      <w:r>
        <w:rPr>
          <w:rFonts w:ascii="Times New Roman" w:eastAsia="Calibri" w:hAnsi="Times New Roman" w:cs="Times New Roman"/>
          <w:sz w:val="24"/>
          <w:szCs w:val="24"/>
        </w:rPr>
        <w:t>от 23.05.2019 № 2</w:t>
      </w: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ПОРЯДОК</w:t>
      </w: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 xml:space="preserve">предоставления муниципальных гарантий по </w:t>
      </w:r>
      <w:proofErr w:type="gramStart"/>
      <w:r>
        <w:rPr>
          <w:rFonts w:ascii="Times New Roman" w:hAnsi="Times New Roman" w:cs="Times New Roman"/>
          <w:b/>
          <w:sz w:val="28"/>
          <w:szCs w:val="28"/>
        </w:rPr>
        <w:t>инвестиционным</w:t>
      </w:r>
      <w:proofErr w:type="gramEnd"/>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проектам за счет средств местного бюджета</w:t>
      </w:r>
    </w:p>
    <w:p w:rsidR="00C726DD" w:rsidRDefault="00C726DD" w:rsidP="00C726DD">
      <w:pPr>
        <w:ind w:firstLine="567"/>
        <w:jc w:val="both"/>
      </w:pPr>
    </w:p>
    <w:p w:rsidR="00C726DD" w:rsidRDefault="00C726DD" w:rsidP="00C726DD">
      <w:pPr>
        <w:numPr>
          <w:ilvl w:val="0"/>
          <w:numId w:val="1"/>
        </w:numPr>
        <w:jc w:val="center"/>
        <w:rPr>
          <w:sz w:val="28"/>
          <w:szCs w:val="28"/>
        </w:rPr>
      </w:pPr>
      <w:r>
        <w:rPr>
          <w:sz w:val="28"/>
          <w:szCs w:val="28"/>
        </w:rPr>
        <w:t>Общие положения</w:t>
      </w:r>
    </w:p>
    <w:p w:rsidR="00C726DD" w:rsidRDefault="00C726DD" w:rsidP="00C726DD">
      <w:pPr>
        <w:ind w:left="567"/>
        <w:rPr>
          <w:sz w:val="28"/>
          <w:szCs w:val="28"/>
        </w:rPr>
      </w:pP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1.1. Термины и понятия, применяемые в целях настоящего Порядка:</w:t>
      </w:r>
    </w:p>
    <w:p w:rsidR="00C726DD" w:rsidRDefault="00C726DD" w:rsidP="00C726DD">
      <w:pPr>
        <w:pStyle w:val="a4"/>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Pr>
          <w:rFonts w:ascii="Times New Roman" w:hAnsi="Times New Roman" w:cs="Times New Roman"/>
          <w:i/>
          <w:sz w:val="28"/>
          <w:szCs w:val="28"/>
        </w:rPr>
        <w:t>муниципальная гарантия на цели реализации инвестиционных проекто</w:t>
      </w:r>
      <w:r>
        <w:rPr>
          <w:rFonts w:ascii="Times New Roman" w:hAnsi="Times New Roman" w:cs="Times New Roman"/>
          <w:sz w:val="28"/>
          <w:szCs w:val="28"/>
        </w:rPr>
        <w:t>в (далее по тексту - муниципальная гарантия) - вид долгового обязательства, в силу которого администрация Бергульского сельсовета Северного района Новосибирской области  (гарант) обязана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местного бюджета в соответствии с</w:t>
      </w:r>
      <w:proofErr w:type="gramEnd"/>
      <w:r>
        <w:rPr>
          <w:rFonts w:ascii="Times New Roman" w:hAnsi="Times New Roman" w:cs="Times New Roman"/>
          <w:sz w:val="28"/>
          <w:szCs w:val="28"/>
        </w:rPr>
        <w:t xml:space="preserve"> условиями даваемого гарантом обязательства, отвечать за исполнение третьим лицом (принципалом) его обязательства перед бенефициаром;</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бенефициар</w:t>
      </w:r>
      <w:r>
        <w:rPr>
          <w:rFonts w:ascii="Times New Roman" w:hAnsi="Times New Roman" w:cs="Times New Roman"/>
          <w:sz w:val="28"/>
          <w:szCs w:val="28"/>
        </w:rPr>
        <w:t xml:space="preserve"> - кредитор принципала, которому предназначен денежный платеж по долговому обязательству муниципального образования в виде муниципальной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принципал</w:t>
      </w:r>
      <w:r>
        <w:rPr>
          <w:rFonts w:ascii="Times New Roman" w:hAnsi="Times New Roman" w:cs="Times New Roman"/>
          <w:sz w:val="28"/>
          <w:szCs w:val="28"/>
        </w:rPr>
        <w:t xml:space="preserve"> - должник бенефициара по обязательству, обеспеченному муниципальной гарантией;</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муниципальный долг</w:t>
      </w:r>
      <w:r>
        <w:rPr>
          <w:rFonts w:ascii="Times New Roman" w:hAnsi="Times New Roman" w:cs="Times New Roman"/>
          <w:sz w:val="28"/>
          <w:szCs w:val="28"/>
        </w:rPr>
        <w:t xml:space="preserve"> - обязательства, возникшие из муниципальных заимствований, гарантий по обязательствам третьих лиц, другие обязательства в соответствии с видами долговых обязательств, принятых на себя муниципальным образованием.</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1.2. Органом местного самоуправления, уполномоченным от имени администрации Северного района  выдавать гарантии, является администрация Бергульского сельсовета Северного района Новосибирской области.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1.3. Основными целями предоставления муниципальных гарантий для реализации инвестиционных проектов являются стимулирование инвестиционной активности и привлечение средств инвесторов для развития экономики муниципального образования, увеличение поступлений </w:t>
      </w:r>
      <w:r>
        <w:rPr>
          <w:rFonts w:ascii="Times New Roman" w:hAnsi="Times New Roman" w:cs="Times New Roman"/>
          <w:sz w:val="28"/>
          <w:szCs w:val="28"/>
        </w:rPr>
        <w:lastRenderedPageBreak/>
        <w:t>налоговых выплат в местный бюджет от реализации инвестиционных проектов, повышение технического уровня и конкурентоспособности продукции, выпускаемой на территории муниципального образования, решение социальных проблем.</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1.4. Предельный размер средств, на которые могут быть предоставлены гарантии администрации Бергульского сельсовета Северного района Новосибирской области по займам и кредитам на цели реализации инвестиционных проектов, определяется администрацией Бергульского сельсовета Северного района Новосибирской области при утверждении бюджета муниципального образования на следующий финансовый год.</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1.5. В муниципальной гарантии должны быть указаны:</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сведения о муниципальном образовании « </w:t>
      </w:r>
      <w:proofErr w:type="spellStart"/>
      <w:r>
        <w:rPr>
          <w:rFonts w:ascii="Times New Roman" w:hAnsi="Times New Roman" w:cs="Times New Roman"/>
          <w:sz w:val="28"/>
          <w:szCs w:val="28"/>
        </w:rPr>
        <w:t>Бергульский</w:t>
      </w:r>
      <w:proofErr w:type="spellEnd"/>
      <w:r>
        <w:rPr>
          <w:rFonts w:ascii="Times New Roman" w:hAnsi="Times New Roman" w:cs="Times New Roman"/>
          <w:sz w:val="28"/>
          <w:szCs w:val="28"/>
        </w:rPr>
        <w:t xml:space="preserve"> сельсовет», включающие полное наименование администрации Бергульского сельсовета;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обязательство, в обеспечение которого выдается гарантия;</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объем обязательств гаранта по муниципальной гарантии и предельная сумма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определение гарантийного случая;</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наименование принципала;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безотзывность</w:t>
      </w:r>
      <w:proofErr w:type="spellEnd"/>
      <w:r>
        <w:rPr>
          <w:rFonts w:ascii="Times New Roman" w:hAnsi="Times New Roman" w:cs="Times New Roman"/>
          <w:sz w:val="28"/>
          <w:szCs w:val="28"/>
        </w:rPr>
        <w:t xml:space="preserve"> гарантии или условия ее отзыва;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основания для выдачи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вступление в силу (дата выдачи)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срок действия муниципальной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порядок исполнения гарантом обязательств по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порядок и условия сокращения предельной суммы гарантии при исполнении гарантии и (или) исполнении обязатель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инципала, обеспеченных гарантией;</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иные условия гарантии, а также сведения, определенные Бюджетным кодексом Российской Федерации.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1.6. Письменная форма муниципальной гарантии является обязательной.</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Несоблюдение письменной формы муниципальной гарантии влечет ее недействительность (ничтожность). </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Срок действия гарантии определяется условиями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1.7. Условия муниципальной гарантии не могут быть изменены гарантом без согласия бенефициара.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Принадлежащее бенефициару по муниципальной гарантии право требования к гаранту не может быть передано другому лицу, если в гарантии не предусмотрено иное.</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Гарант имеет право отозвать муниципальную гарантию только по основаниям, указанным в гарантии.</w:t>
      </w: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center"/>
        <w:rPr>
          <w:rFonts w:ascii="Times New Roman" w:hAnsi="Times New Roman" w:cs="Times New Roman"/>
          <w:b/>
          <w:sz w:val="28"/>
          <w:szCs w:val="28"/>
        </w:rPr>
      </w:pPr>
      <w:r>
        <w:rPr>
          <w:rFonts w:ascii="Times New Roman" w:hAnsi="Times New Roman" w:cs="Times New Roman"/>
          <w:b/>
          <w:sz w:val="28"/>
          <w:szCs w:val="28"/>
        </w:rPr>
        <w:t>2.Условия предоставления муниципальной гарантии</w:t>
      </w:r>
    </w:p>
    <w:p w:rsidR="00C726DD" w:rsidRDefault="00C726DD" w:rsidP="00C726DD">
      <w:pPr>
        <w:pStyle w:val="a4"/>
        <w:jc w:val="both"/>
        <w:rPr>
          <w:rFonts w:ascii="Times New Roman" w:hAnsi="Times New Roman" w:cs="Times New Roman"/>
          <w:b/>
          <w:sz w:val="28"/>
          <w:szCs w:val="28"/>
        </w:rPr>
      </w:pP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2.1. </w:t>
      </w:r>
      <w:proofErr w:type="gramStart"/>
      <w:r>
        <w:rPr>
          <w:rFonts w:ascii="Times New Roman" w:hAnsi="Times New Roman" w:cs="Times New Roman"/>
          <w:sz w:val="28"/>
          <w:szCs w:val="28"/>
        </w:rPr>
        <w:t>Обязательными условиями, учитываемыми при выдаче муниципальных гарантий администрацией Бергульского сельсовета являются</w:t>
      </w:r>
      <w:proofErr w:type="gramEnd"/>
      <w:r>
        <w:rPr>
          <w:rFonts w:ascii="Times New Roman" w:hAnsi="Times New Roman" w:cs="Times New Roman"/>
          <w:sz w:val="28"/>
          <w:szCs w:val="28"/>
        </w:rPr>
        <w:t>:</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проведение анализа финансового состояния принципала;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представление принципалом всей необходимой документации (договоры, соглашения, технико-экономические обоснования и т.д.), касающейся его долгового обязательства перед третьим лицом;</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соблюдение принципалом бюджетного и налогового законодательства;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отсутствие у принципала, его поручителей просроченной задолженности по денежным обязательствам перед администрацией  Бергульского сельсовета по обязательным платежам в бюджетную систему Российской Федерации, а также неурегулированных обязательств по ранее предоставленным муниципальным гарантиям.</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2.2. </w:t>
      </w:r>
      <w:proofErr w:type="gramStart"/>
      <w:r>
        <w:rPr>
          <w:rFonts w:ascii="Times New Roman" w:hAnsi="Times New Roman" w:cs="Times New Roman"/>
          <w:sz w:val="28"/>
          <w:szCs w:val="28"/>
        </w:rPr>
        <w:t>Предоставлении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 анализ финансового состояния принципала может не проводиться.</w:t>
      </w:r>
      <w:proofErr w:type="gramEnd"/>
      <w:r>
        <w:rPr>
          <w:rFonts w:ascii="Times New Roman" w:hAnsi="Times New Roman" w:cs="Times New Roman"/>
          <w:sz w:val="28"/>
          <w:szCs w:val="28"/>
        </w:rPr>
        <w:t xml:space="preserve"> При предоставлении указанных гарантий обеспечение исполнения обязатель</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инципала перед гарантом, которые могут возникнуть в связи с предъявлением гарантом регрессных требований к принципалу, не требуется.</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2.3.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Бергульского сельсовета письменного заявления на предоставление муниципальной гарантии, в котором указываются:</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полное наименование заявителя, его юридический и фактический адреса;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обязательство, в обеспечение которого запрашивается гарантия, его сумма и срок;</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наименование и адрес бенефициара, которому будет предоставлена полученная муниципальная гарантия;</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направления расходования средств, предоставленных по обязательствам, обеспеченным муниципальной гарантией.</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2.4. К заявлению должны быть приложены следующие документы:</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карточка с образцами подписей уполномоченных лиц, подписывающих договор о предоставлении муниципальной гарантии, а также с образцом оттиска печати юридического лица;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документы, устанавливающие полномочия лиц, подписывающих договор о предоставлении муниципальной гарантии;</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учредительные документы (подлинники) или их копии, заверенные организацией;</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технико-экономические обоснования, характеризующие окупаемость заимствований;</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бухгалтерский баланс за предшествующий год и на последнюю отчетную дату, предшествующую получению муниципальной гарантии, заверенный </w:t>
      </w:r>
      <w:r>
        <w:rPr>
          <w:rFonts w:ascii="Times New Roman" w:hAnsi="Times New Roman" w:cs="Times New Roman"/>
          <w:sz w:val="28"/>
          <w:szCs w:val="28"/>
        </w:rPr>
        <w:lastRenderedPageBreak/>
        <w:t>организацией, отчет о финансовых результатах, а для юридических лиц с участием иностранного капитала;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бухгалтерский баланс за предшествующий год и на последнюю отчетную дату и последнее заключение независимого аудитора с нотариально заверенным переводом на русский</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язык.</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2.5. администрация Бергульского сельсовета обязана провести проверку финансового состояния получателя муниципальной гарантии на основе представленных документов, кроме случаев предоставления муниципальной гарантии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без права регрессного требования гаранта к принципалу.</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2.6. администрация Бергульского сельсовета определяет условия предоставления муниципальной гарантии в соответствии с настоящим Положением, визирует проект договора муниципальной гарантии или в течение 30 дней готовит обоснованный отказ в выдаче муниципальной гарантии в случае неудовлетворительного финансового состояния получателя муниципальной гарантии.</w:t>
      </w: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tabs>
          <w:tab w:val="left" w:pos="3960"/>
        </w:tabs>
        <w:jc w:val="center"/>
        <w:rPr>
          <w:rFonts w:ascii="Times New Roman" w:hAnsi="Times New Roman" w:cs="Times New Roman"/>
          <w:b/>
          <w:sz w:val="28"/>
          <w:szCs w:val="28"/>
        </w:rPr>
      </w:pPr>
      <w:r>
        <w:rPr>
          <w:rFonts w:ascii="Times New Roman" w:hAnsi="Times New Roman" w:cs="Times New Roman"/>
          <w:b/>
          <w:sz w:val="28"/>
          <w:szCs w:val="28"/>
        </w:rPr>
        <w:t>3.Заключительные положения</w:t>
      </w:r>
    </w:p>
    <w:p w:rsidR="00C726DD" w:rsidRDefault="00C726DD" w:rsidP="00C726DD">
      <w:pPr>
        <w:pStyle w:val="a4"/>
        <w:jc w:val="center"/>
        <w:rPr>
          <w:rFonts w:ascii="Times New Roman" w:hAnsi="Times New Roman" w:cs="Times New Roman"/>
          <w:b/>
          <w:sz w:val="28"/>
          <w:szCs w:val="28"/>
        </w:rPr>
      </w:pP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3.1. Гарант (поручитель) несет ответственность в соответствии с законодательством Российской Федерации и заключенным договором поручительства и (или) договором залога.</w:t>
      </w:r>
    </w:p>
    <w:p w:rsidR="00C726DD" w:rsidRDefault="00C726DD" w:rsidP="00C726DD">
      <w:pPr>
        <w:pStyle w:val="a4"/>
        <w:jc w:val="both"/>
        <w:rPr>
          <w:rFonts w:ascii="Times New Roman" w:hAnsi="Times New Roman" w:cs="Times New Roman"/>
          <w:sz w:val="28"/>
          <w:szCs w:val="28"/>
        </w:rPr>
      </w:pPr>
      <w:r>
        <w:rPr>
          <w:rFonts w:ascii="Times New Roman" w:hAnsi="Times New Roman" w:cs="Times New Roman"/>
          <w:sz w:val="28"/>
          <w:szCs w:val="28"/>
        </w:rPr>
        <w:t xml:space="preserve">    3.2. Заемщик несет ответственность за неисполнение условий договора (в том числе нецелевое использование полученных денежных средств) в соответствии с законодательством Российской Федерации и соответствующим договором.</w:t>
      </w: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Pr>
        <w:pStyle w:val="a4"/>
        <w:jc w:val="both"/>
        <w:rPr>
          <w:rFonts w:ascii="Times New Roman" w:hAnsi="Times New Roman" w:cs="Times New Roman"/>
          <w:sz w:val="28"/>
          <w:szCs w:val="28"/>
        </w:rPr>
      </w:pPr>
    </w:p>
    <w:p w:rsidR="00C726DD" w:rsidRDefault="00C726DD" w:rsidP="00C726DD"/>
    <w:p w:rsidR="00C726DD" w:rsidRDefault="00C726DD" w:rsidP="00C726DD"/>
    <w:p w:rsidR="009B5B46" w:rsidRDefault="009B5B46"/>
    <w:sectPr w:rsidR="009B5B46" w:rsidSect="009B5B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340FA"/>
    <w:multiLevelType w:val="hybridMultilevel"/>
    <w:tmpl w:val="51885240"/>
    <w:lvl w:ilvl="0" w:tplc="E656272C">
      <w:start w:val="1"/>
      <w:numFmt w:val="decimal"/>
      <w:lvlText w:val="%1."/>
      <w:lvlJc w:val="left"/>
      <w:pPr>
        <w:ind w:left="927"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26DD"/>
    <w:rsid w:val="009B5B46"/>
    <w:rsid w:val="00C726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6DD"/>
    <w:pPr>
      <w:spacing w:after="0" w:line="240" w:lineRule="auto"/>
    </w:pPr>
    <w:rPr>
      <w:rFonts w:ascii="Times New Roman" w:eastAsia="MS Mincho" w:hAnsi="Times New Roman" w:cs="Times New Roman"/>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с интервалом Знак,Без интервала1 Знак,No Spacing1 Знак,No Spacing Знак"/>
    <w:basedOn w:val="a0"/>
    <w:link w:val="a4"/>
    <w:uiPriority w:val="1"/>
    <w:locked/>
    <w:rsid w:val="00C726DD"/>
    <w:rPr>
      <w:rFonts w:ascii="Calibri" w:hAnsi="Calibri" w:cs="Calibri"/>
    </w:rPr>
  </w:style>
  <w:style w:type="paragraph" w:styleId="a4">
    <w:name w:val="No Spacing"/>
    <w:aliases w:val="с интервалом,Без интервала1,No Spacing1,No Spacing"/>
    <w:link w:val="a3"/>
    <w:uiPriority w:val="1"/>
    <w:qFormat/>
    <w:rsid w:val="00C726DD"/>
    <w:pPr>
      <w:spacing w:after="0" w:line="240" w:lineRule="auto"/>
    </w:pPr>
    <w:rPr>
      <w:rFonts w:ascii="Calibri" w:hAnsi="Calibri" w:cs="Calibri"/>
    </w:rPr>
  </w:style>
  <w:style w:type="paragraph" w:customStyle="1" w:styleId="ConsPlusNonformat">
    <w:name w:val="ConsPlusNonformat"/>
    <w:uiPriority w:val="99"/>
    <w:rsid w:val="00C726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5">
    <w:name w:val="Цветовое выделение"/>
    <w:uiPriority w:val="99"/>
    <w:rsid w:val="00C726DD"/>
    <w:rPr>
      <w:b/>
      <w:bCs w:val="0"/>
      <w:color w:val="26282F"/>
    </w:rPr>
  </w:style>
</w:styles>
</file>

<file path=word/webSettings.xml><?xml version="1.0" encoding="utf-8"?>
<w:webSettings xmlns:r="http://schemas.openxmlformats.org/officeDocument/2006/relationships" xmlns:w="http://schemas.openxmlformats.org/wordprocessingml/2006/main">
  <w:divs>
    <w:div w:id="50509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1501</Words>
  <Characters>8560</Characters>
  <Application>Microsoft Office Word</Application>
  <DocSecurity>0</DocSecurity>
  <Lines>71</Lines>
  <Paragraphs>20</Paragraphs>
  <ScaleCrop>false</ScaleCrop>
  <Company/>
  <LinksUpToDate>false</LinksUpToDate>
  <CharactersWithSpaces>10041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2019-05-29T08:10:00Z</dcterms:created>
  <dcterms:modified xsi:type="dcterms:W3CDTF">2019-05-29T08:11:00Z</dcterms:modified>
</cp:coreProperties>
</file>